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E97BE" w14:textId="1F8018F6" w:rsidR="00CE3458" w:rsidRPr="00CE3458" w:rsidRDefault="00CE3458" w:rsidP="00253536">
      <w:pPr>
        <w:jc w:val="center"/>
        <w:rPr>
          <w:b/>
          <w:bCs/>
          <w:sz w:val="24"/>
          <w:szCs w:val="24"/>
        </w:rPr>
      </w:pPr>
      <w:r w:rsidRPr="00CE3458">
        <w:rPr>
          <w:b/>
          <w:bCs/>
          <w:sz w:val="24"/>
          <w:szCs w:val="24"/>
        </w:rPr>
        <w:t>RESULTS</w:t>
      </w:r>
    </w:p>
    <w:p w14:paraId="6E85F155" w14:textId="1E682A61" w:rsidR="00253536" w:rsidRPr="00CE3458" w:rsidRDefault="00253536" w:rsidP="00253536">
      <w:pPr>
        <w:jc w:val="center"/>
        <w:rPr>
          <w:b/>
          <w:bCs/>
          <w:sz w:val="24"/>
          <w:szCs w:val="24"/>
        </w:rPr>
      </w:pPr>
      <w:r w:rsidRPr="00CE3458">
        <w:rPr>
          <w:b/>
          <w:bCs/>
          <w:sz w:val="24"/>
          <w:szCs w:val="24"/>
        </w:rPr>
        <w:t>EEBC</w:t>
      </w:r>
      <w:r w:rsidR="005B543B" w:rsidRPr="00CE3458">
        <w:rPr>
          <w:b/>
          <w:bCs/>
          <w:sz w:val="24"/>
          <w:szCs w:val="24"/>
        </w:rPr>
        <w:t xml:space="preserve"> Member Proposals and Results of </w:t>
      </w:r>
      <w:r w:rsidRPr="00CE3458">
        <w:rPr>
          <w:b/>
          <w:bCs/>
          <w:sz w:val="24"/>
          <w:szCs w:val="24"/>
        </w:rPr>
        <w:t>“ASKS”</w:t>
      </w:r>
    </w:p>
    <w:p w14:paraId="7100F7C2" w14:textId="77777777" w:rsidR="00CE3458" w:rsidRDefault="00CE3458" w:rsidP="00253536">
      <w:pPr>
        <w:jc w:val="center"/>
        <w:rPr>
          <w:b/>
          <w:bCs/>
          <w:color w:val="000000"/>
          <w:sz w:val="24"/>
          <w:szCs w:val="24"/>
        </w:rPr>
      </w:pPr>
    </w:p>
    <w:p w14:paraId="37156B9F" w14:textId="34B377C7" w:rsidR="00CE3458" w:rsidRPr="00CE3458" w:rsidRDefault="00CE3458" w:rsidP="00253536">
      <w:pPr>
        <w:jc w:val="center"/>
        <w:rPr>
          <w:rFonts w:ascii="Times New Roman" w:hAnsi="Times New Roman" w:cs="Times New Roman"/>
          <w:b/>
          <w:bCs/>
          <w:sz w:val="24"/>
          <w:szCs w:val="24"/>
        </w:rPr>
      </w:pPr>
      <w:r w:rsidRPr="00CE3458">
        <w:rPr>
          <w:b/>
          <w:bCs/>
          <w:color w:val="000000"/>
          <w:sz w:val="24"/>
          <w:szCs w:val="24"/>
        </w:rPr>
        <w:t xml:space="preserve">2021-22 DSM Plan </w:t>
      </w:r>
      <w:r w:rsidRPr="00CE3458">
        <w:rPr>
          <w:b/>
          <w:bCs/>
          <w:color w:val="000000"/>
          <w:sz w:val="24"/>
          <w:szCs w:val="24"/>
        </w:rPr>
        <w:t>S</w:t>
      </w:r>
      <w:r w:rsidRPr="00CE3458">
        <w:rPr>
          <w:b/>
          <w:bCs/>
          <w:color w:val="000000"/>
          <w:sz w:val="24"/>
          <w:szCs w:val="24"/>
        </w:rPr>
        <w:t xml:space="preserve">ettlement </w:t>
      </w:r>
      <w:r w:rsidRPr="00CE3458">
        <w:rPr>
          <w:b/>
          <w:bCs/>
          <w:color w:val="000000"/>
          <w:sz w:val="24"/>
          <w:szCs w:val="24"/>
        </w:rPr>
        <w:t>Proceeding</w:t>
      </w:r>
      <w:r>
        <w:rPr>
          <w:b/>
          <w:bCs/>
          <w:color w:val="000000"/>
          <w:sz w:val="24"/>
          <w:szCs w:val="24"/>
        </w:rPr>
        <w:t xml:space="preserve"> in 2019</w:t>
      </w:r>
    </w:p>
    <w:p w14:paraId="23882A04" w14:textId="77777777" w:rsidR="00253536" w:rsidRDefault="00253536" w:rsidP="00253536">
      <w:pPr>
        <w:rPr>
          <w:color w:val="000000"/>
        </w:rPr>
      </w:pPr>
    </w:p>
    <w:p w14:paraId="39C090BA" w14:textId="77777777" w:rsidR="00253536" w:rsidRDefault="00253536" w:rsidP="00253536">
      <w:pPr>
        <w:rPr>
          <w:color w:val="000000"/>
        </w:rPr>
      </w:pPr>
      <w:r>
        <w:rPr>
          <w:color w:val="000000"/>
        </w:rPr>
        <w:t xml:space="preserve">In the Public Service 2021-22 DSM Plan settlement process, EEBC submitted 14 different product proposals and/or measures to be included in the 2021-22 DSM Plan. EEBC also presented two different pilot proposals for consideration, for a total of 16 different proposals. </w:t>
      </w:r>
    </w:p>
    <w:p w14:paraId="2B7D0F08" w14:textId="77777777" w:rsidR="00253536" w:rsidRDefault="00253536" w:rsidP="00253536">
      <w:pPr>
        <w:rPr>
          <w:color w:val="000000"/>
        </w:rPr>
      </w:pPr>
    </w:p>
    <w:p w14:paraId="77B6691D" w14:textId="77777777" w:rsidR="00253536" w:rsidRDefault="00253536" w:rsidP="00253536">
      <w:pPr>
        <w:rPr>
          <w:b/>
          <w:bCs/>
        </w:rPr>
      </w:pPr>
      <w:r>
        <w:rPr>
          <w:color w:val="000000"/>
        </w:rPr>
        <w:t>The table below itemizes the various proposals submitted to the Policy Action Committee, by member, and whether the proposal received any action in the Settlement Agreement.</w:t>
      </w:r>
    </w:p>
    <w:p w14:paraId="2BEB7B1E" w14:textId="77777777" w:rsidR="00253536" w:rsidRDefault="00253536" w:rsidP="00253536">
      <w:pPr>
        <w:jc w:val="center"/>
        <w:rPr>
          <w:b/>
          <w:bCs/>
        </w:rPr>
      </w:pPr>
    </w:p>
    <w:p w14:paraId="03DEF1DD" w14:textId="30390715" w:rsidR="005B543B" w:rsidRDefault="005B543B">
      <w:pPr>
        <w:spacing w:after="160" w:line="259" w:lineRule="auto"/>
        <w:rPr>
          <w:b/>
          <w:bCs/>
        </w:rPr>
      </w:pPr>
      <w:r>
        <w:rPr>
          <w:b/>
          <w:bCs/>
        </w:rPr>
        <w:br w:type="page"/>
      </w:r>
    </w:p>
    <w:p w14:paraId="4E0F2863" w14:textId="77777777" w:rsidR="005B543B" w:rsidRDefault="005B543B" w:rsidP="00253536">
      <w:pPr>
        <w:jc w:val="center"/>
        <w:rPr>
          <w:b/>
          <w:bCs/>
        </w:rPr>
      </w:pPr>
    </w:p>
    <w:tbl>
      <w:tblPr>
        <w:tblW w:w="10440" w:type="dxa"/>
        <w:jc w:val="center"/>
        <w:tblCellMar>
          <w:left w:w="0" w:type="dxa"/>
          <w:right w:w="0" w:type="dxa"/>
        </w:tblCellMar>
        <w:tblLook w:val="04A0" w:firstRow="1" w:lastRow="0" w:firstColumn="1" w:lastColumn="0" w:noHBand="0" w:noVBand="1"/>
      </w:tblPr>
      <w:tblGrid>
        <w:gridCol w:w="531"/>
        <w:gridCol w:w="4236"/>
        <w:gridCol w:w="1351"/>
        <w:gridCol w:w="3332"/>
        <w:gridCol w:w="990"/>
      </w:tblGrid>
      <w:tr w:rsidR="00253536" w14:paraId="043DE55E" w14:textId="77777777" w:rsidTr="00253536">
        <w:trPr>
          <w:jc w:val="center"/>
        </w:trPr>
        <w:tc>
          <w:tcPr>
            <w:tcW w:w="531" w:type="dxa"/>
            <w:tcBorders>
              <w:top w:val="single" w:sz="8" w:space="0" w:color="auto"/>
              <w:left w:val="single" w:sz="8" w:space="0" w:color="auto"/>
              <w:bottom w:val="single" w:sz="8" w:space="0" w:color="auto"/>
              <w:right w:val="single" w:sz="8" w:space="0" w:color="auto"/>
            </w:tcBorders>
            <w:shd w:val="clear" w:color="auto" w:fill="E2EFD9"/>
            <w:tcMar>
              <w:top w:w="0" w:type="dxa"/>
              <w:left w:w="108" w:type="dxa"/>
              <w:bottom w:w="0" w:type="dxa"/>
              <w:right w:w="108" w:type="dxa"/>
            </w:tcMar>
          </w:tcPr>
          <w:p w14:paraId="1AF15519" w14:textId="77777777" w:rsidR="00253536" w:rsidRDefault="00253536">
            <w:pPr>
              <w:jc w:val="center"/>
              <w:rPr>
                <w:b/>
                <w:bCs/>
              </w:rPr>
            </w:pPr>
          </w:p>
        </w:tc>
        <w:tc>
          <w:tcPr>
            <w:tcW w:w="4234"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hideMark/>
          </w:tcPr>
          <w:p w14:paraId="375A6132" w14:textId="77777777" w:rsidR="00253536" w:rsidRDefault="00253536">
            <w:pPr>
              <w:jc w:val="center"/>
              <w:rPr>
                <w:b/>
                <w:bCs/>
              </w:rPr>
            </w:pPr>
            <w:r>
              <w:rPr>
                <w:b/>
                <w:bCs/>
                <w:color w:val="000000"/>
              </w:rPr>
              <w:t>Submission Proposals/Measures</w:t>
            </w:r>
          </w:p>
        </w:tc>
        <w:tc>
          <w:tcPr>
            <w:tcW w:w="1350"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hideMark/>
          </w:tcPr>
          <w:p w14:paraId="214F8F16" w14:textId="77777777" w:rsidR="00253536" w:rsidRDefault="00253536">
            <w:pPr>
              <w:jc w:val="center"/>
              <w:rPr>
                <w:b/>
                <w:bCs/>
              </w:rPr>
            </w:pPr>
            <w:r>
              <w:rPr>
                <w:b/>
                <w:bCs/>
                <w:color w:val="000000"/>
              </w:rPr>
              <w:t>Proposal Sponsor</w:t>
            </w:r>
          </w:p>
        </w:tc>
        <w:tc>
          <w:tcPr>
            <w:tcW w:w="3330"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hideMark/>
          </w:tcPr>
          <w:p w14:paraId="04310341" w14:textId="77777777" w:rsidR="00253536" w:rsidRDefault="00253536">
            <w:pPr>
              <w:jc w:val="center"/>
              <w:rPr>
                <w:b/>
                <w:bCs/>
              </w:rPr>
            </w:pPr>
            <w:r>
              <w:rPr>
                <w:b/>
                <w:bCs/>
                <w:color w:val="000000"/>
              </w:rPr>
              <w:t>Xcel Response and/or Inclusion into Plan</w:t>
            </w:r>
          </w:p>
        </w:tc>
        <w:tc>
          <w:tcPr>
            <w:tcW w:w="990"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hideMark/>
          </w:tcPr>
          <w:p w14:paraId="67569A4B" w14:textId="77777777" w:rsidR="00253536" w:rsidRDefault="00253536">
            <w:pPr>
              <w:jc w:val="center"/>
              <w:rPr>
                <w:b/>
                <w:bCs/>
              </w:rPr>
            </w:pPr>
            <w:r>
              <w:rPr>
                <w:b/>
                <w:bCs/>
                <w:color w:val="000000"/>
              </w:rPr>
              <w:t>Won</w:t>
            </w:r>
          </w:p>
          <w:p w14:paraId="006A2C9B" w14:textId="77777777" w:rsidR="00253536" w:rsidRDefault="00253536">
            <w:pPr>
              <w:jc w:val="center"/>
              <w:rPr>
                <w:b/>
                <w:bCs/>
              </w:rPr>
            </w:pPr>
            <w:r>
              <w:rPr>
                <w:b/>
                <w:bCs/>
                <w:color w:val="000000"/>
              </w:rPr>
              <w:t>Y/N</w:t>
            </w:r>
          </w:p>
        </w:tc>
      </w:tr>
      <w:tr w:rsidR="00253536" w14:paraId="2E924495" w14:textId="77777777" w:rsidTr="00253536">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4FD52" w14:textId="77777777" w:rsidR="00253536" w:rsidRDefault="00253536">
            <w:pPr>
              <w:jc w:val="center"/>
            </w:pPr>
            <w:r>
              <w:t>1</w:t>
            </w:r>
          </w:p>
        </w:tc>
        <w:tc>
          <w:tcPr>
            <w:tcW w:w="4234" w:type="dxa"/>
            <w:tcBorders>
              <w:top w:val="nil"/>
              <w:left w:val="nil"/>
              <w:bottom w:val="single" w:sz="8" w:space="0" w:color="auto"/>
              <w:right w:val="single" w:sz="8" w:space="0" w:color="auto"/>
            </w:tcBorders>
            <w:tcMar>
              <w:top w:w="0" w:type="dxa"/>
              <w:left w:w="108" w:type="dxa"/>
              <w:bottom w:w="0" w:type="dxa"/>
              <w:right w:w="108" w:type="dxa"/>
            </w:tcMar>
            <w:hideMark/>
          </w:tcPr>
          <w:p w14:paraId="4FC724A3" w14:textId="77777777" w:rsidR="00253536" w:rsidRDefault="00253536">
            <w:pPr>
              <w:rPr>
                <w:color w:val="000000"/>
              </w:rPr>
            </w:pPr>
            <w:r>
              <w:rPr>
                <w:color w:val="000000"/>
              </w:rPr>
              <w:t>Adoption of Commercial Heat Pumps</w:t>
            </w:r>
            <w:r>
              <w:rPr>
                <w:rStyle w:val="apple-converted-space"/>
                <w:color w:val="000000"/>
              </w:rPr>
              <w:t> </w:t>
            </w:r>
            <w:r>
              <w:rPr>
                <w:color w:val="000000"/>
              </w:rPr>
              <w:t>Standardized Rebates that would be part of a customized energy upgrade application</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5D566BF" w14:textId="77777777" w:rsidR="00253536" w:rsidRDefault="00253536">
            <w:pPr>
              <w:jc w:val="center"/>
              <w:rPr>
                <w:color w:val="000000"/>
              </w:rPr>
            </w:pPr>
          </w:p>
          <w:p w14:paraId="06D36596" w14:textId="77777777" w:rsidR="00253536" w:rsidRDefault="00253536">
            <w:pPr>
              <w:jc w:val="center"/>
              <w:rPr>
                <w:color w:val="000000"/>
              </w:rPr>
            </w:pPr>
            <w:r>
              <w:rPr>
                <w:color w:val="000000"/>
              </w:rPr>
              <w:t>EEBC</w:t>
            </w:r>
          </w:p>
          <w:p w14:paraId="76ECE7CE" w14:textId="77777777" w:rsidR="00253536" w:rsidRDefault="00253536">
            <w:pPr>
              <w:jc w:val="center"/>
              <w:rPr>
                <w:color w:val="000000"/>
              </w:rPr>
            </w:pPr>
            <w:r>
              <w:rPr>
                <w:color w:val="000000"/>
              </w:rPr>
              <w:t>SWEEP, BEL-CO, NTC</w:t>
            </w:r>
          </w:p>
          <w:p w14:paraId="7985D280" w14:textId="77777777" w:rsidR="00253536" w:rsidRDefault="00253536">
            <w:pPr>
              <w:jc w:val="center"/>
              <w:rPr>
                <w:color w:val="000000"/>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1DE984B1" w14:textId="77777777" w:rsidR="00253536" w:rsidRDefault="00253536">
            <w:r>
              <w:t>PSCo has agreed to continue to support commercial heat pumps as part of the Custom Efficiency product and will continue to gather data on these projects and periodically measure and report on cost-effectiveness during the DSM Roundtable to evaluate the potential for developing prescriptive rebates for these measures when a reasonable expectation of cost-effectiveness exists in the broad application of the measures.</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22944E73" w14:textId="77777777" w:rsidR="00253536" w:rsidRDefault="00253536">
            <w:pPr>
              <w:jc w:val="center"/>
            </w:pPr>
            <w:r>
              <w:t>N</w:t>
            </w:r>
          </w:p>
        </w:tc>
      </w:tr>
      <w:tr w:rsidR="00253536" w14:paraId="71B14417" w14:textId="77777777" w:rsidTr="00253536">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5DC173" w14:textId="77777777" w:rsidR="00253536" w:rsidRDefault="00253536">
            <w:pPr>
              <w:jc w:val="center"/>
            </w:pPr>
            <w:r>
              <w:t>2</w:t>
            </w:r>
          </w:p>
        </w:tc>
        <w:tc>
          <w:tcPr>
            <w:tcW w:w="4234" w:type="dxa"/>
            <w:tcBorders>
              <w:top w:val="nil"/>
              <w:left w:val="nil"/>
              <w:bottom w:val="single" w:sz="8" w:space="0" w:color="auto"/>
              <w:right w:val="single" w:sz="8" w:space="0" w:color="auto"/>
            </w:tcBorders>
            <w:tcMar>
              <w:top w:w="0" w:type="dxa"/>
              <w:left w:w="108" w:type="dxa"/>
              <w:bottom w:w="0" w:type="dxa"/>
              <w:right w:w="108" w:type="dxa"/>
            </w:tcMar>
            <w:hideMark/>
          </w:tcPr>
          <w:p w14:paraId="73D330E4" w14:textId="77777777" w:rsidR="00253536" w:rsidRDefault="00253536">
            <w:pPr>
              <w:autoSpaceDE w:val="0"/>
              <w:autoSpaceDN w:val="0"/>
            </w:pPr>
            <w:r>
              <w:t>Workforce Training on the conversion of technology to BE/HP and increase educatio</w:t>
            </w:r>
            <w:r>
              <w:rPr>
                <w:color w:val="000000"/>
              </w:rPr>
              <w:t xml:space="preserve">n budget to provide a </w:t>
            </w:r>
            <w:r>
              <w:rPr>
                <w:rStyle w:val="apple-converted-space"/>
                <w:color w:val="000000"/>
              </w:rPr>
              <w:t> </w:t>
            </w:r>
            <w:r>
              <w:rPr>
                <w:color w:val="000000"/>
              </w:rPr>
              <w:t>$100 rebate for contractors completing training</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8078C0C" w14:textId="77777777" w:rsidR="00253536" w:rsidRDefault="00253536">
            <w:pPr>
              <w:jc w:val="center"/>
            </w:pPr>
            <w:r>
              <w:t>EEBC</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24946D85" w14:textId="77777777" w:rsidR="00253536" w:rsidRDefault="00253536">
            <w:r>
              <w:t>PSCo will offer substantial market transformation and workforce training activities. PSCo has committed to $200,000 in product level Market Transformation for heat pumps.</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6D3A53E4" w14:textId="77777777" w:rsidR="00253536" w:rsidRDefault="00253536">
            <w:pPr>
              <w:jc w:val="center"/>
            </w:pPr>
            <w:r>
              <w:t>Y</w:t>
            </w:r>
          </w:p>
        </w:tc>
      </w:tr>
      <w:tr w:rsidR="00253536" w14:paraId="6BE97F2A" w14:textId="77777777" w:rsidTr="00253536">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E26B5" w14:textId="77777777" w:rsidR="00253536" w:rsidRDefault="00253536">
            <w:pPr>
              <w:jc w:val="center"/>
            </w:pPr>
            <w:r>
              <w:t>3</w:t>
            </w:r>
          </w:p>
        </w:tc>
        <w:tc>
          <w:tcPr>
            <w:tcW w:w="4234" w:type="dxa"/>
            <w:tcBorders>
              <w:top w:val="nil"/>
              <w:left w:val="nil"/>
              <w:bottom w:val="single" w:sz="8" w:space="0" w:color="auto"/>
              <w:right w:val="single" w:sz="8" w:space="0" w:color="auto"/>
            </w:tcBorders>
            <w:tcMar>
              <w:top w:w="0" w:type="dxa"/>
              <w:left w:w="108" w:type="dxa"/>
              <w:bottom w:w="0" w:type="dxa"/>
              <w:right w:w="108" w:type="dxa"/>
            </w:tcMar>
            <w:hideMark/>
          </w:tcPr>
          <w:p w14:paraId="406FCD70" w14:textId="77777777" w:rsidR="00253536" w:rsidRDefault="00253536">
            <w:r>
              <w:t>Increase in Ductless Mini &amp; Multi-Split Heat Pump Rebates from $300 to</w:t>
            </w:r>
          </w:p>
          <w:p w14:paraId="1C2919CE" w14:textId="77777777" w:rsidR="00253536" w:rsidRDefault="00253536">
            <w:pPr>
              <w:autoSpaceDE w:val="0"/>
              <w:autoSpaceDN w:val="0"/>
            </w:pPr>
            <w:r>
              <w:t>$600 with an additional incentive to the contractor of $100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FCFBEB0" w14:textId="77777777" w:rsidR="00253536" w:rsidRDefault="00253536">
            <w:pPr>
              <w:jc w:val="center"/>
            </w:pPr>
            <w:r>
              <w:t>Mitsubishi Electric Trane</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0FD35163" w14:textId="77777777" w:rsidR="00253536" w:rsidRDefault="00253536">
            <w:r>
              <w:t>$800 rebate for ducted, $500 rebate for ductless in addition to a $100 contractor incentive</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38E608B9" w14:textId="77777777" w:rsidR="00253536" w:rsidRDefault="00253536">
            <w:pPr>
              <w:jc w:val="center"/>
            </w:pPr>
            <w:r>
              <w:t>Y</w:t>
            </w:r>
          </w:p>
        </w:tc>
      </w:tr>
      <w:tr w:rsidR="00253536" w14:paraId="390FE4C3" w14:textId="77777777" w:rsidTr="00253536">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065EA" w14:textId="77777777" w:rsidR="00253536" w:rsidRDefault="00253536">
            <w:pPr>
              <w:jc w:val="center"/>
            </w:pPr>
            <w:r>
              <w:t>4</w:t>
            </w:r>
          </w:p>
        </w:tc>
        <w:tc>
          <w:tcPr>
            <w:tcW w:w="4234" w:type="dxa"/>
            <w:tcBorders>
              <w:top w:val="nil"/>
              <w:left w:val="nil"/>
              <w:bottom w:val="single" w:sz="8" w:space="0" w:color="auto"/>
              <w:right w:val="single" w:sz="8" w:space="0" w:color="auto"/>
            </w:tcBorders>
            <w:tcMar>
              <w:top w:w="0" w:type="dxa"/>
              <w:left w:w="108" w:type="dxa"/>
              <w:bottom w:w="0" w:type="dxa"/>
              <w:right w:w="108" w:type="dxa"/>
            </w:tcMar>
          </w:tcPr>
          <w:p w14:paraId="2B12C55C" w14:textId="77777777" w:rsidR="00253536" w:rsidRDefault="00253536">
            <w:pPr>
              <w:autoSpaceDE w:val="0"/>
              <w:autoSpaceDN w:val="0"/>
            </w:pPr>
            <w:r>
              <w:t>Adjustment of the “13 to 14.99” Seasonal Energy Efficiency Ratio (“SEER”) for the Standard AC or ASHP systems with Quality Installation to “16 to 17” SEER.</w:t>
            </w:r>
          </w:p>
          <w:p w14:paraId="0A2A1DF0" w14:textId="77777777" w:rsidR="00253536" w:rsidRDefault="00253536">
            <w:pPr>
              <w:autoSpaceDE w:val="0"/>
              <w:autoSpaceDN w:val="0"/>
            </w:pPr>
          </w:p>
          <w:p w14:paraId="0CCB268E" w14:textId="77777777" w:rsidR="00253536" w:rsidRDefault="00253536">
            <w:pPr>
              <w:autoSpaceDE w:val="0"/>
              <w:autoSpaceDN w:val="0"/>
            </w:pPr>
            <w:r>
              <w:t>Adjustment of the energy requirements for High Efficiency AC &amp; ASHP systems with “at least 15 SEER” to” at least 17.1 SEER for AC and at least 17.1 SEER or 9.5 HSPF for Heat Pumps.</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892C90F" w14:textId="77777777" w:rsidR="00253536" w:rsidRDefault="00253536">
            <w:pPr>
              <w:jc w:val="center"/>
            </w:pPr>
            <w:r>
              <w:t>Daikin</w:t>
            </w:r>
          </w:p>
          <w:p w14:paraId="62383C7C" w14:textId="77777777" w:rsidR="00253536" w:rsidRDefault="00253536">
            <w:pPr>
              <w:jc w:val="center"/>
            </w:pP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22753A70" w14:textId="77777777" w:rsidR="00253536" w:rsidRDefault="00253536">
            <w:r>
              <w:t>PSCo was unwilling adjust the SEER levels.</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064FA8EB" w14:textId="77777777" w:rsidR="00253536" w:rsidRDefault="00253536">
            <w:pPr>
              <w:jc w:val="center"/>
            </w:pPr>
            <w:r>
              <w:t>N</w:t>
            </w:r>
          </w:p>
        </w:tc>
      </w:tr>
      <w:tr w:rsidR="00253536" w14:paraId="2FBDC35C" w14:textId="77777777" w:rsidTr="00253536">
        <w:trPr>
          <w:trHeight w:val="827"/>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7D8D1" w14:textId="77777777" w:rsidR="00253536" w:rsidRDefault="00253536">
            <w:pPr>
              <w:jc w:val="center"/>
            </w:pPr>
            <w:r>
              <w:t>5</w:t>
            </w:r>
          </w:p>
        </w:tc>
        <w:tc>
          <w:tcPr>
            <w:tcW w:w="4234" w:type="dxa"/>
            <w:tcBorders>
              <w:top w:val="nil"/>
              <w:left w:val="nil"/>
              <w:bottom w:val="single" w:sz="8" w:space="0" w:color="auto"/>
              <w:right w:val="single" w:sz="8" w:space="0" w:color="auto"/>
            </w:tcBorders>
            <w:tcMar>
              <w:top w:w="0" w:type="dxa"/>
              <w:left w:w="108" w:type="dxa"/>
              <w:bottom w:w="0" w:type="dxa"/>
              <w:right w:w="108" w:type="dxa"/>
            </w:tcMar>
          </w:tcPr>
          <w:p w14:paraId="5AD5AACF" w14:textId="77777777" w:rsidR="00253536" w:rsidRDefault="00253536">
            <w:pPr>
              <w:autoSpaceDE w:val="0"/>
              <w:autoSpaceDN w:val="0"/>
            </w:pPr>
            <w:r>
              <w:t>Eliminate the $300 Standard Efficiency AC with QI rebate</w:t>
            </w:r>
          </w:p>
          <w:p w14:paraId="52069BB8" w14:textId="77777777" w:rsidR="00253536" w:rsidRDefault="00253536">
            <w:pPr>
              <w:autoSpaceDE w:val="0"/>
              <w:autoSpaceDN w:val="0"/>
            </w:pPr>
          </w:p>
          <w:p w14:paraId="6290B77C" w14:textId="77777777" w:rsidR="00253536" w:rsidRDefault="00253536">
            <w:pPr>
              <w:autoSpaceDE w:val="0"/>
              <w:autoSpaceDN w:val="0"/>
            </w:pPr>
            <w:r>
              <w:t>Reduce the $500 High Efficiency AC without QI down to $300.</w:t>
            </w:r>
          </w:p>
          <w:p w14:paraId="64DC017D" w14:textId="77777777" w:rsidR="00253536" w:rsidRDefault="00253536">
            <w:pPr>
              <w:autoSpaceDE w:val="0"/>
              <w:autoSpaceDN w:val="0"/>
            </w:pPr>
          </w:p>
          <w:p w14:paraId="6731F266" w14:textId="77777777" w:rsidR="00253536" w:rsidRDefault="00253536">
            <w:pPr>
              <w:autoSpaceDE w:val="0"/>
              <w:autoSpaceDN w:val="0"/>
            </w:pPr>
            <w:r>
              <w:t xml:space="preserve">Adjust High Efficiency Heat Pump with QI Rebates to $1,800 (Tier 1 - Heat Pump/Furnace dual fuel installations) and </w:t>
            </w:r>
            <w:r>
              <w:lastRenderedPageBreak/>
              <w:t>$1,900 (Tier 2 NEEP-certified Cold Climate Heat Pump with</w:t>
            </w:r>
          </w:p>
          <w:p w14:paraId="022D12AB" w14:textId="77777777" w:rsidR="00253536" w:rsidRDefault="00253536">
            <w:pPr>
              <w:autoSpaceDE w:val="0"/>
              <w:autoSpaceDN w:val="0"/>
            </w:pPr>
            <w:r>
              <w:t>electric backup)</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631D4E8" w14:textId="77777777" w:rsidR="00253536" w:rsidRDefault="00253536">
            <w:pPr>
              <w:jc w:val="center"/>
            </w:pPr>
            <w:r>
              <w:lastRenderedPageBreak/>
              <w:t>EEBC</w:t>
            </w: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10C19743" w14:textId="77777777" w:rsidR="00253536" w:rsidRDefault="00253536">
            <w:r>
              <w:t>PSCo lowered the $300 incentive for a Standard AC w/ QI to $200 with a $100 contractor incentive</w:t>
            </w:r>
          </w:p>
          <w:p w14:paraId="6DD49AB0" w14:textId="77777777" w:rsidR="00253536" w:rsidRDefault="00253536"/>
          <w:p w14:paraId="103F385E" w14:textId="77777777" w:rsidR="00253536" w:rsidRDefault="00253536"/>
          <w:p w14:paraId="64622D50" w14:textId="77777777" w:rsidR="00253536" w:rsidRDefault="00253536">
            <w:r>
              <w:t xml:space="preserve">PSCo did not adjust the  $500 High Efficiency AC w/QI, but did add a $50 </w:t>
            </w:r>
          </w:p>
          <w:p w14:paraId="257134A0" w14:textId="77777777" w:rsidR="00253536" w:rsidRDefault="00253536">
            <w:r>
              <w:t>contractor incentive.</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02FC9A72" w14:textId="77777777" w:rsidR="00253536" w:rsidRDefault="00253536">
            <w:pPr>
              <w:jc w:val="center"/>
            </w:pPr>
            <w:r>
              <w:t>Y</w:t>
            </w:r>
          </w:p>
        </w:tc>
      </w:tr>
      <w:tr w:rsidR="00253536" w14:paraId="0CB2A040" w14:textId="77777777" w:rsidTr="00253536">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FC5FE4" w14:textId="77777777" w:rsidR="00253536" w:rsidRDefault="00253536">
            <w:pPr>
              <w:jc w:val="center"/>
            </w:pPr>
            <w:r>
              <w:t>6</w:t>
            </w:r>
          </w:p>
        </w:tc>
        <w:tc>
          <w:tcPr>
            <w:tcW w:w="4234" w:type="dxa"/>
            <w:tcBorders>
              <w:top w:val="nil"/>
              <w:left w:val="nil"/>
              <w:bottom w:val="single" w:sz="8" w:space="0" w:color="auto"/>
              <w:right w:val="single" w:sz="8" w:space="0" w:color="auto"/>
            </w:tcBorders>
            <w:tcMar>
              <w:top w:w="0" w:type="dxa"/>
              <w:left w:w="108" w:type="dxa"/>
              <w:bottom w:w="0" w:type="dxa"/>
              <w:right w:w="108" w:type="dxa"/>
            </w:tcMar>
            <w:hideMark/>
          </w:tcPr>
          <w:p w14:paraId="75F77289" w14:textId="77777777" w:rsidR="00253536" w:rsidRDefault="00253536">
            <w:r>
              <w:t xml:space="preserve">Attic </w:t>
            </w:r>
            <w:r>
              <w:rPr>
                <w:color w:val="000000"/>
              </w:rPr>
              <w:t>Insulation Stand-Alone Measure</w:t>
            </w:r>
            <w:r>
              <w:rPr>
                <w:rStyle w:val="apple-converted-space"/>
                <w:color w:val="000000"/>
              </w:rPr>
              <w:t> </w:t>
            </w:r>
            <w:r>
              <w:rPr>
                <w:color w:val="000000"/>
              </w:rPr>
              <w:t>offering an option for insulating to code starting at zero R-value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0F1E144" w14:textId="77777777" w:rsidR="00253536" w:rsidRDefault="00253536">
            <w:pPr>
              <w:jc w:val="center"/>
            </w:pPr>
            <w:r>
              <w:t>Owens Corning</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4A5BABF8" w14:textId="77777777" w:rsidR="00253536" w:rsidRDefault="00253536">
            <w:r>
              <w:t>PSCo did not adopt this as a stand-alone measure, however it did adjust its incentive of 30% of project cost from to $300 up to $400.</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39E120C3" w14:textId="77777777" w:rsidR="00253536" w:rsidRDefault="00253536">
            <w:pPr>
              <w:jc w:val="center"/>
            </w:pPr>
            <w:r>
              <w:t>Y</w:t>
            </w:r>
          </w:p>
        </w:tc>
      </w:tr>
      <w:tr w:rsidR="00253536" w14:paraId="0C6998D4" w14:textId="77777777" w:rsidTr="00253536">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A6EB3" w14:textId="77777777" w:rsidR="00253536" w:rsidRDefault="00253536">
            <w:pPr>
              <w:jc w:val="center"/>
            </w:pPr>
            <w:r>
              <w:t>7</w:t>
            </w:r>
          </w:p>
        </w:tc>
        <w:tc>
          <w:tcPr>
            <w:tcW w:w="4234" w:type="dxa"/>
            <w:tcBorders>
              <w:top w:val="nil"/>
              <w:left w:val="nil"/>
              <w:bottom w:val="single" w:sz="8" w:space="0" w:color="auto"/>
              <w:right w:val="single" w:sz="8" w:space="0" w:color="auto"/>
            </w:tcBorders>
            <w:tcMar>
              <w:top w:w="0" w:type="dxa"/>
              <w:left w:w="108" w:type="dxa"/>
              <w:bottom w:w="0" w:type="dxa"/>
              <w:right w:w="108" w:type="dxa"/>
            </w:tcMar>
            <w:hideMark/>
          </w:tcPr>
          <w:p w14:paraId="7A358C62" w14:textId="77777777" w:rsidR="00253536" w:rsidRDefault="00253536">
            <w:r>
              <w:t>Creation of a “Free Cooling” Product Category within A/C Chillers within  Residential Heating + Cooling</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357971E" w14:textId="77777777" w:rsidR="00253536" w:rsidRDefault="00253536">
            <w:pPr>
              <w:jc w:val="center"/>
              <w:rPr>
                <w:rStyle w:val="Hyperlink"/>
              </w:rPr>
            </w:pPr>
            <w:r>
              <w:t>Trane</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024D3C22" w14:textId="77777777" w:rsidR="00253536" w:rsidRDefault="00253536">
            <w:pPr>
              <w:autoSpaceDE w:val="0"/>
              <w:autoSpaceDN w:val="0"/>
            </w:pPr>
            <w:r>
              <w:t>This can currently be</w:t>
            </w:r>
          </w:p>
          <w:p w14:paraId="68089CEC" w14:textId="77777777" w:rsidR="00253536" w:rsidRDefault="00253536">
            <w:r>
              <w:t>evaluated under the Custom product, however PSCo has committed to continuing to gather data on a free cooling measure under the Custom Product and periodically report on measure cost-effectiveness during the DSM Roundtable with the goal to develop prescriptive rebates for these measures when a reasonable expectation of cost effectiveness exists in the broad application of the measures.</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2D78E8E6" w14:textId="77777777" w:rsidR="00253536" w:rsidRDefault="00253536">
            <w:pPr>
              <w:jc w:val="center"/>
            </w:pPr>
            <w:r>
              <w:t>Partial</w:t>
            </w:r>
          </w:p>
          <w:p w14:paraId="128B7DE6" w14:textId="77777777" w:rsidR="00253536" w:rsidRDefault="00253536">
            <w:pPr>
              <w:jc w:val="center"/>
            </w:pPr>
            <w:r>
              <w:t>Y</w:t>
            </w:r>
          </w:p>
        </w:tc>
      </w:tr>
      <w:tr w:rsidR="00253536" w14:paraId="03330525" w14:textId="77777777" w:rsidTr="00253536">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8C04D" w14:textId="77777777" w:rsidR="00253536" w:rsidRDefault="00253536">
            <w:pPr>
              <w:jc w:val="center"/>
            </w:pPr>
            <w:r>
              <w:t>8</w:t>
            </w:r>
          </w:p>
        </w:tc>
        <w:tc>
          <w:tcPr>
            <w:tcW w:w="4234" w:type="dxa"/>
            <w:tcBorders>
              <w:top w:val="nil"/>
              <w:left w:val="nil"/>
              <w:bottom w:val="single" w:sz="8" w:space="0" w:color="auto"/>
              <w:right w:val="single" w:sz="8" w:space="0" w:color="auto"/>
            </w:tcBorders>
            <w:tcMar>
              <w:top w:w="0" w:type="dxa"/>
              <w:left w:w="108" w:type="dxa"/>
              <w:bottom w:w="0" w:type="dxa"/>
              <w:right w:w="108" w:type="dxa"/>
            </w:tcMar>
            <w:hideMark/>
          </w:tcPr>
          <w:p w14:paraId="32962829" w14:textId="77777777" w:rsidR="00253536" w:rsidRDefault="00253536">
            <w:r>
              <w:t>AeroSeal HVAC Duct Sealing Stand-Alone Product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58F6CBC" w14:textId="77777777" w:rsidR="00253536" w:rsidRDefault="00253536">
            <w:pPr>
              <w:jc w:val="center"/>
            </w:pPr>
            <w:r>
              <w:t>AeroSeal</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2A4B38D9" w14:textId="77777777" w:rsidR="00253536" w:rsidRDefault="00253536">
            <w:r>
              <w:t>PSCo will evaluate a duct sealing rebate for potential addition to the DSM Plan through a 60-Day Notice and discuss findings through the quarterly DSM Roundtable beginning in 2021.</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22D09A6D" w14:textId="77777777" w:rsidR="00253536" w:rsidRDefault="00253536">
            <w:pPr>
              <w:jc w:val="center"/>
            </w:pPr>
            <w:r>
              <w:t>Partial</w:t>
            </w:r>
          </w:p>
          <w:p w14:paraId="37C106EA" w14:textId="77777777" w:rsidR="00253536" w:rsidRDefault="00253536">
            <w:pPr>
              <w:jc w:val="center"/>
            </w:pPr>
            <w:r>
              <w:t>Y</w:t>
            </w:r>
          </w:p>
        </w:tc>
      </w:tr>
      <w:tr w:rsidR="00253536" w14:paraId="56F08B10" w14:textId="77777777" w:rsidTr="00253536">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591084" w14:textId="77777777" w:rsidR="00253536" w:rsidRDefault="00253536">
            <w:pPr>
              <w:jc w:val="center"/>
            </w:pPr>
            <w:r>
              <w:t>9</w:t>
            </w:r>
          </w:p>
        </w:tc>
        <w:tc>
          <w:tcPr>
            <w:tcW w:w="4234" w:type="dxa"/>
            <w:tcBorders>
              <w:top w:val="nil"/>
              <w:left w:val="nil"/>
              <w:bottom w:val="single" w:sz="8" w:space="0" w:color="auto"/>
              <w:right w:val="single" w:sz="8" w:space="0" w:color="auto"/>
            </w:tcBorders>
            <w:tcMar>
              <w:top w:w="0" w:type="dxa"/>
              <w:left w:w="108" w:type="dxa"/>
              <w:bottom w:w="0" w:type="dxa"/>
              <w:right w:w="108" w:type="dxa"/>
            </w:tcMar>
            <w:hideMark/>
          </w:tcPr>
          <w:p w14:paraId="0EDB7B04" w14:textId="77777777" w:rsidR="00253536" w:rsidRDefault="00253536">
            <w:pPr>
              <w:rPr>
                <w:color w:val="FF0000"/>
              </w:rPr>
            </w:pPr>
            <w:r>
              <w:t xml:space="preserve">One-Stop EE Program – Energy Audits for Small Businesses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50AF184" w14:textId="77777777" w:rsidR="00253536" w:rsidRDefault="00253536">
            <w:pPr>
              <w:jc w:val="center"/>
            </w:pPr>
            <w:r>
              <w:t>Financial Energy Mgmt.</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5FE01D1C" w14:textId="77777777" w:rsidR="00253536" w:rsidRDefault="00253536">
            <w:r>
              <w:t>PSCo has agreed to include audits and direct install measures in the Small Business Energy Services offering beginning in 2021.</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33C991F1" w14:textId="77777777" w:rsidR="00253536" w:rsidRDefault="00253536">
            <w:pPr>
              <w:jc w:val="center"/>
            </w:pPr>
            <w:r>
              <w:t>Y</w:t>
            </w:r>
          </w:p>
        </w:tc>
      </w:tr>
      <w:tr w:rsidR="00253536" w14:paraId="3E331FA6" w14:textId="77777777" w:rsidTr="00253536">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13CDB6" w14:textId="77777777" w:rsidR="00253536" w:rsidRDefault="00253536">
            <w:pPr>
              <w:jc w:val="center"/>
            </w:pPr>
            <w:r>
              <w:t>10</w:t>
            </w:r>
          </w:p>
        </w:tc>
        <w:tc>
          <w:tcPr>
            <w:tcW w:w="4234" w:type="dxa"/>
            <w:tcBorders>
              <w:top w:val="nil"/>
              <w:left w:val="nil"/>
              <w:bottom w:val="single" w:sz="8" w:space="0" w:color="auto"/>
              <w:right w:val="single" w:sz="8" w:space="0" w:color="auto"/>
            </w:tcBorders>
            <w:tcMar>
              <w:top w:w="0" w:type="dxa"/>
              <w:left w:w="108" w:type="dxa"/>
              <w:bottom w:w="0" w:type="dxa"/>
              <w:right w:w="108" w:type="dxa"/>
            </w:tcMar>
            <w:hideMark/>
          </w:tcPr>
          <w:p w14:paraId="43C7A458" w14:textId="77777777" w:rsidR="00253536" w:rsidRDefault="00253536">
            <w:r>
              <w:t>Addition of a Variable Refrigerant Flow Incentive in the Plan’s Commercial HVAC&amp;R, Multi-family, and Small Business Solutions programs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CF8AD04" w14:textId="77777777" w:rsidR="00253536" w:rsidRDefault="00253536">
            <w:pPr>
              <w:jc w:val="center"/>
            </w:pPr>
            <w:r>
              <w:t>Mitsubishi</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4B12659E" w14:textId="77777777" w:rsidR="00253536" w:rsidRDefault="00253536">
            <w:pPr>
              <w:autoSpaceDE w:val="0"/>
              <w:autoSpaceDN w:val="0"/>
            </w:pPr>
            <w:r>
              <w:t>This can currently be</w:t>
            </w:r>
          </w:p>
          <w:p w14:paraId="1BD13F35" w14:textId="77777777" w:rsidR="00253536" w:rsidRDefault="00253536">
            <w:r>
              <w:t>evaluated under the Custom product, however, PSCo has committed to continuing to gather data on a variable refrigerant flow measure under the Custom Product and periodically report on measure cost-effectiveness during the DSM Roundtable with the goal to develop prescriptive rebates for these measures when a reasonable expectation of cost effectiveness exists in the broad application of the measures.</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4572A1CE" w14:textId="77777777" w:rsidR="00253536" w:rsidRDefault="00253536">
            <w:pPr>
              <w:jc w:val="center"/>
            </w:pPr>
            <w:r>
              <w:t>Partial</w:t>
            </w:r>
          </w:p>
          <w:p w14:paraId="59B63599" w14:textId="77777777" w:rsidR="00253536" w:rsidRDefault="00253536">
            <w:pPr>
              <w:jc w:val="center"/>
            </w:pPr>
            <w:r>
              <w:t>Y</w:t>
            </w:r>
          </w:p>
        </w:tc>
      </w:tr>
      <w:tr w:rsidR="00253536" w14:paraId="08FB0252" w14:textId="77777777" w:rsidTr="00253536">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5200D1" w14:textId="77777777" w:rsidR="00253536" w:rsidRDefault="00253536">
            <w:pPr>
              <w:jc w:val="center"/>
            </w:pPr>
            <w:r>
              <w:lastRenderedPageBreak/>
              <w:t>11</w:t>
            </w:r>
          </w:p>
        </w:tc>
        <w:tc>
          <w:tcPr>
            <w:tcW w:w="4234" w:type="dxa"/>
            <w:tcBorders>
              <w:top w:val="nil"/>
              <w:left w:val="nil"/>
              <w:bottom w:val="single" w:sz="8" w:space="0" w:color="auto"/>
              <w:right w:val="single" w:sz="8" w:space="0" w:color="auto"/>
            </w:tcBorders>
            <w:tcMar>
              <w:top w:w="0" w:type="dxa"/>
              <w:left w:w="108" w:type="dxa"/>
              <w:bottom w:w="0" w:type="dxa"/>
              <w:right w:w="108" w:type="dxa"/>
            </w:tcMar>
            <w:hideMark/>
          </w:tcPr>
          <w:p w14:paraId="46F61FC7" w14:textId="77777777" w:rsidR="00253536" w:rsidRDefault="00253536">
            <w:r>
              <w:t>Removal of the 11 EER Efficiency Requirement for Mini-Split Heat Pumps</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B2DE491" w14:textId="77777777" w:rsidR="00253536" w:rsidRDefault="00253536">
            <w:pPr>
              <w:jc w:val="center"/>
            </w:pPr>
            <w:r>
              <w:t>Daikin</w:t>
            </w:r>
          </w:p>
          <w:p w14:paraId="5AA66F42" w14:textId="77777777" w:rsidR="00253536" w:rsidRDefault="00253536">
            <w:pPr>
              <w:jc w:val="center"/>
            </w:pP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3E071610" w14:textId="77777777" w:rsidR="00253536" w:rsidRDefault="00253536">
            <w:r>
              <w:t>PSCo was unwilling remove the EER requirement for MSHPs.</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30E62A8C" w14:textId="77777777" w:rsidR="00253536" w:rsidRDefault="00253536">
            <w:pPr>
              <w:jc w:val="center"/>
            </w:pPr>
            <w:r>
              <w:t>N</w:t>
            </w:r>
          </w:p>
        </w:tc>
      </w:tr>
      <w:tr w:rsidR="00253536" w14:paraId="1DA1E9FE" w14:textId="77777777" w:rsidTr="00253536">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94C5E1" w14:textId="77777777" w:rsidR="00253536" w:rsidRDefault="00253536">
            <w:pPr>
              <w:jc w:val="center"/>
            </w:pPr>
            <w:r>
              <w:t>12</w:t>
            </w:r>
          </w:p>
        </w:tc>
        <w:tc>
          <w:tcPr>
            <w:tcW w:w="4234" w:type="dxa"/>
            <w:tcBorders>
              <w:top w:val="nil"/>
              <w:left w:val="nil"/>
              <w:bottom w:val="single" w:sz="8" w:space="0" w:color="auto"/>
              <w:right w:val="single" w:sz="8" w:space="0" w:color="auto"/>
            </w:tcBorders>
            <w:tcMar>
              <w:top w:w="0" w:type="dxa"/>
              <w:left w:w="108" w:type="dxa"/>
              <w:bottom w:w="0" w:type="dxa"/>
              <w:right w:w="108" w:type="dxa"/>
            </w:tcMar>
            <w:hideMark/>
          </w:tcPr>
          <w:p w14:paraId="06780429" w14:textId="77777777" w:rsidR="00253536" w:rsidRDefault="00253536">
            <w:pPr>
              <w:autoSpaceDE w:val="0"/>
              <w:autoSpaceDN w:val="0"/>
            </w:pPr>
            <w:r>
              <w:t>Expansion of rebate program to include</w:t>
            </w:r>
          </w:p>
          <w:p w14:paraId="45444DF2" w14:textId="77777777" w:rsidR="00253536" w:rsidRDefault="00253536">
            <w:pPr>
              <w:autoSpaceDE w:val="0"/>
              <w:autoSpaceDN w:val="0"/>
            </w:pPr>
            <w:r>
              <w:t>Variable-Speed Multi-Split Heat Pump systems (in addition to the currently captured mini-split heat pump and multi-head mini-split heat pump system)</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86F0777" w14:textId="77777777" w:rsidR="00253536" w:rsidRDefault="00253536">
            <w:pPr>
              <w:jc w:val="center"/>
            </w:pPr>
            <w:r>
              <w:t>Daikin</w:t>
            </w:r>
          </w:p>
          <w:p w14:paraId="067E562C" w14:textId="77777777" w:rsidR="00253536" w:rsidRDefault="00253536">
            <w:pPr>
              <w:jc w:val="center"/>
            </w:pP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37BC85B7" w14:textId="77777777" w:rsidR="00253536" w:rsidRDefault="00253536">
            <w:pPr>
              <w:pStyle w:val="BodyText"/>
              <w:jc w:val="left"/>
              <w:rPr>
                <w:sz w:val="22"/>
                <w:szCs w:val="22"/>
              </w:rPr>
            </w:pPr>
            <w:r>
              <w:rPr>
                <w:sz w:val="22"/>
                <w:szCs w:val="22"/>
              </w:rPr>
              <w:t>Allow Variable Speed (“VS”) multi-split systems to participate within the Residential Heating, Ventilation, and Air Conditioning (“HVAC”) product subject to minimum qualifying efficiency standards.</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56628C01" w14:textId="77777777" w:rsidR="00253536" w:rsidRDefault="00253536">
            <w:pPr>
              <w:jc w:val="center"/>
            </w:pPr>
            <w:r>
              <w:t>Y</w:t>
            </w:r>
          </w:p>
        </w:tc>
      </w:tr>
      <w:tr w:rsidR="00253536" w14:paraId="381CB18B" w14:textId="77777777" w:rsidTr="00253536">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9A70C4" w14:textId="77777777" w:rsidR="00253536" w:rsidRDefault="00253536">
            <w:pPr>
              <w:jc w:val="center"/>
            </w:pPr>
            <w:r>
              <w:t>13</w:t>
            </w:r>
          </w:p>
        </w:tc>
        <w:tc>
          <w:tcPr>
            <w:tcW w:w="4234" w:type="dxa"/>
            <w:tcBorders>
              <w:top w:val="nil"/>
              <w:left w:val="nil"/>
              <w:bottom w:val="single" w:sz="8" w:space="0" w:color="auto"/>
              <w:right w:val="single" w:sz="8" w:space="0" w:color="auto"/>
            </w:tcBorders>
            <w:tcMar>
              <w:top w:w="0" w:type="dxa"/>
              <w:left w:w="108" w:type="dxa"/>
              <w:bottom w:w="0" w:type="dxa"/>
              <w:right w:w="108" w:type="dxa"/>
            </w:tcMar>
            <w:hideMark/>
          </w:tcPr>
          <w:p w14:paraId="2AE4F196" w14:textId="77777777" w:rsidR="00253536" w:rsidRDefault="00253536">
            <w:pPr>
              <w:autoSpaceDE w:val="0"/>
              <w:autoSpaceDN w:val="0"/>
            </w:pPr>
            <w:r>
              <w:t>Use of Manufacturer-specified Smart Thermostats or Equipment Rated in</w:t>
            </w:r>
          </w:p>
          <w:p w14:paraId="2C14CDED" w14:textId="77777777" w:rsidR="00253536" w:rsidRDefault="00253536">
            <w:pPr>
              <w:autoSpaceDE w:val="0"/>
              <w:autoSpaceDN w:val="0"/>
            </w:pPr>
            <w:r>
              <w:t>accordance with AHRI Standard 1380 as an Alternative to ENERGY STAR®</w:t>
            </w:r>
          </w:p>
          <w:p w14:paraId="352CCD0C" w14:textId="77777777" w:rsidR="00253536" w:rsidRDefault="00253536">
            <w:pPr>
              <w:autoSpaceDE w:val="0"/>
              <w:autoSpaceDN w:val="0"/>
            </w:pPr>
            <w:r>
              <w:t>Connected Thermostat Compliance</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12C317EF" w14:textId="77777777" w:rsidR="00253536" w:rsidRDefault="00253536">
            <w:pPr>
              <w:jc w:val="center"/>
            </w:pPr>
            <w:r>
              <w:t>Daikin</w:t>
            </w:r>
          </w:p>
          <w:p w14:paraId="6179E5BE" w14:textId="77777777" w:rsidR="00253536" w:rsidRDefault="00253536">
            <w:pPr>
              <w:jc w:val="center"/>
            </w:pP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1C6F9386" w14:textId="77777777" w:rsidR="00253536" w:rsidRDefault="00253536">
            <w:r>
              <w:t>PSCo has agreed to work with smart thermostats manufacturers to identify additional products compatible with the DR portfolio and eligible for inclusion in DSM offerings.</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7F7B4BED" w14:textId="77777777" w:rsidR="00253536" w:rsidRDefault="00253536">
            <w:pPr>
              <w:jc w:val="center"/>
            </w:pPr>
            <w:r>
              <w:t>Y</w:t>
            </w:r>
          </w:p>
        </w:tc>
      </w:tr>
      <w:tr w:rsidR="00253536" w14:paraId="3DCE2BB0" w14:textId="77777777" w:rsidTr="00253536">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3F172" w14:textId="77777777" w:rsidR="00253536" w:rsidRDefault="00253536">
            <w:pPr>
              <w:jc w:val="center"/>
            </w:pPr>
            <w:r>
              <w:t>14</w:t>
            </w:r>
          </w:p>
        </w:tc>
        <w:tc>
          <w:tcPr>
            <w:tcW w:w="4234" w:type="dxa"/>
            <w:tcBorders>
              <w:top w:val="nil"/>
              <w:left w:val="nil"/>
              <w:bottom w:val="single" w:sz="8" w:space="0" w:color="auto"/>
              <w:right w:val="single" w:sz="8" w:space="0" w:color="auto"/>
            </w:tcBorders>
            <w:tcMar>
              <w:top w:w="0" w:type="dxa"/>
              <w:left w:w="108" w:type="dxa"/>
              <w:bottom w:w="0" w:type="dxa"/>
              <w:right w:w="108" w:type="dxa"/>
            </w:tcMar>
            <w:hideMark/>
          </w:tcPr>
          <w:p w14:paraId="40E274FC" w14:textId="77777777" w:rsidR="00253536" w:rsidRDefault="00253536">
            <w:pPr>
              <w:autoSpaceDE w:val="0"/>
              <w:autoSpaceDN w:val="0"/>
            </w:pPr>
            <w:r>
              <w:t>Creation of a new rebate category for ASHP paired with Natural Gas Furnace (supplemental heat) with two tiers aligning with the efficiency requirement for heat pumps and gas furnaces as</w:t>
            </w:r>
          </w:p>
          <w:p w14:paraId="4AAEC7D4" w14:textId="77777777" w:rsidR="00253536" w:rsidRDefault="00253536">
            <w:pPr>
              <w:autoSpaceDE w:val="0"/>
              <w:autoSpaceDN w:val="0"/>
            </w:pPr>
            <w:r>
              <w:t>already proposed.</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E34F984" w14:textId="77777777" w:rsidR="00253536" w:rsidRDefault="00253536">
            <w:pPr>
              <w:jc w:val="center"/>
            </w:pPr>
            <w:r>
              <w:t>Trane</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41550D34" w14:textId="77777777" w:rsidR="00253536" w:rsidRDefault="00253536">
            <w:r>
              <w:t>PSCo increased the rebate levels for its Ducted and Ductless ASHP from $600 ducted, $300 ductless up to</w:t>
            </w:r>
          </w:p>
          <w:p w14:paraId="76E84BF8" w14:textId="77777777" w:rsidR="00253536" w:rsidRDefault="00253536">
            <w:pPr>
              <w:pStyle w:val="BodyText"/>
              <w:jc w:val="left"/>
              <w:rPr>
                <w:sz w:val="22"/>
                <w:szCs w:val="22"/>
              </w:rPr>
            </w:pPr>
            <w:r>
              <w:rPr>
                <w:sz w:val="22"/>
                <w:szCs w:val="22"/>
              </w:rPr>
              <w:t>$800 ducted, $500 ductless in addition to a $100 contractor incentive.</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48B75F41" w14:textId="77777777" w:rsidR="00253536" w:rsidRDefault="00253536">
            <w:pPr>
              <w:jc w:val="center"/>
            </w:pPr>
            <w:r>
              <w:t>Partial Y</w:t>
            </w:r>
          </w:p>
        </w:tc>
      </w:tr>
      <w:tr w:rsidR="00253536" w14:paraId="23DCF1EC" w14:textId="77777777" w:rsidTr="00253536">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6EC812" w14:textId="77777777" w:rsidR="00253536" w:rsidRDefault="00253536">
            <w:pPr>
              <w:jc w:val="center"/>
            </w:pPr>
            <w:r>
              <w:t>15</w:t>
            </w:r>
          </w:p>
        </w:tc>
        <w:tc>
          <w:tcPr>
            <w:tcW w:w="4234" w:type="dxa"/>
            <w:tcBorders>
              <w:top w:val="nil"/>
              <w:left w:val="nil"/>
              <w:bottom w:val="single" w:sz="8" w:space="0" w:color="auto"/>
              <w:right w:val="single" w:sz="8" w:space="0" w:color="auto"/>
            </w:tcBorders>
            <w:tcMar>
              <w:top w:w="0" w:type="dxa"/>
              <w:left w:w="108" w:type="dxa"/>
              <w:bottom w:w="0" w:type="dxa"/>
              <w:right w:w="108" w:type="dxa"/>
            </w:tcMar>
          </w:tcPr>
          <w:p w14:paraId="19FE18CF" w14:textId="77777777" w:rsidR="00253536" w:rsidRDefault="00253536">
            <w:pPr>
              <w:rPr>
                <w:color w:val="000000"/>
              </w:rPr>
            </w:pPr>
            <w:r>
              <w:rPr>
                <w:color w:val="000000"/>
              </w:rPr>
              <w:t>Demand Flexibility Innovations Marketplace Pilot  - Building an EE-DR pilot pipeline</w:t>
            </w:r>
          </w:p>
          <w:p w14:paraId="440A6E81" w14:textId="77777777" w:rsidR="00253536" w:rsidRDefault="00253536">
            <w:pPr>
              <w:rPr>
                <w:color w:val="00000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F3E1245" w14:textId="77777777" w:rsidR="00253536" w:rsidRDefault="00253536">
            <w:pPr>
              <w:jc w:val="center"/>
            </w:pPr>
            <w:r>
              <w:t>Recurve</w:t>
            </w:r>
          </w:p>
        </w:tc>
        <w:tc>
          <w:tcPr>
            <w:tcW w:w="3330" w:type="dxa"/>
            <w:vMerge w:val="restart"/>
            <w:tcBorders>
              <w:top w:val="nil"/>
              <w:left w:val="nil"/>
              <w:bottom w:val="single" w:sz="8" w:space="0" w:color="auto"/>
              <w:right w:val="single" w:sz="8" w:space="0" w:color="auto"/>
            </w:tcBorders>
            <w:tcMar>
              <w:top w:w="0" w:type="dxa"/>
              <w:left w:w="108" w:type="dxa"/>
              <w:bottom w:w="0" w:type="dxa"/>
              <w:right w:w="108" w:type="dxa"/>
            </w:tcMar>
          </w:tcPr>
          <w:p w14:paraId="6B4FBEE0" w14:textId="266EAFBB" w:rsidR="00253536" w:rsidRDefault="00253536">
            <w:r>
              <w:t>PSCO implement</w:t>
            </w:r>
            <w:r w:rsidR="005B543B">
              <w:t>ed</w:t>
            </w:r>
            <w:r>
              <w:t xml:space="preserve"> a DR Working Group in 2021 that will discuss various topics, including but not limited to: (1) challenges to broader adoption of DR offerings; and (2) opportunities to enhance DR offerings to achieve greater peak load reduction for all customer classes, including integrated EE-DR product concepts raised in this Proceeding, focusing on the residential class. </w:t>
            </w:r>
          </w:p>
          <w:p w14:paraId="6D5A8119" w14:textId="77777777" w:rsidR="00253536" w:rsidRDefault="00253536"/>
          <w:p w14:paraId="4417814F" w14:textId="77777777" w:rsidR="00253536" w:rsidRDefault="00253536">
            <w:r>
              <w:t>The objective of the DR Working Group will be to examine the effectiveness of current products and determine the feasibility and benefits of launching one or more residential DR pilots in 2022.</w:t>
            </w:r>
          </w:p>
        </w:tc>
        <w:tc>
          <w:tcPr>
            <w:tcW w:w="990" w:type="dxa"/>
            <w:vMerge w:val="restart"/>
            <w:tcBorders>
              <w:top w:val="nil"/>
              <w:left w:val="nil"/>
              <w:bottom w:val="single" w:sz="8" w:space="0" w:color="auto"/>
              <w:right w:val="single" w:sz="8" w:space="0" w:color="auto"/>
            </w:tcBorders>
            <w:tcMar>
              <w:top w:w="0" w:type="dxa"/>
              <w:left w:w="108" w:type="dxa"/>
              <w:bottom w:w="0" w:type="dxa"/>
              <w:right w:w="108" w:type="dxa"/>
            </w:tcMar>
          </w:tcPr>
          <w:p w14:paraId="54C89CD3" w14:textId="77777777" w:rsidR="00253536" w:rsidRDefault="00253536">
            <w:pPr>
              <w:jc w:val="center"/>
            </w:pPr>
            <w:r>
              <w:t>Y</w:t>
            </w:r>
          </w:p>
          <w:p w14:paraId="2F351E6C" w14:textId="77777777" w:rsidR="00253536" w:rsidRDefault="00253536">
            <w:pPr>
              <w:jc w:val="center"/>
            </w:pPr>
          </w:p>
        </w:tc>
      </w:tr>
      <w:tr w:rsidR="00253536" w14:paraId="4FE5A73F" w14:textId="77777777" w:rsidTr="00253536">
        <w:trPr>
          <w:trHeight w:val="92"/>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39B8A8" w14:textId="77777777" w:rsidR="00253536" w:rsidRDefault="00253536">
            <w:pPr>
              <w:jc w:val="center"/>
            </w:pPr>
            <w:r>
              <w:t>16</w:t>
            </w:r>
          </w:p>
        </w:tc>
        <w:tc>
          <w:tcPr>
            <w:tcW w:w="4234" w:type="dxa"/>
            <w:tcBorders>
              <w:top w:val="nil"/>
              <w:left w:val="nil"/>
              <w:bottom w:val="single" w:sz="8" w:space="0" w:color="auto"/>
              <w:right w:val="single" w:sz="8" w:space="0" w:color="auto"/>
            </w:tcBorders>
            <w:tcMar>
              <w:top w:w="0" w:type="dxa"/>
              <w:left w:w="108" w:type="dxa"/>
              <w:bottom w:w="0" w:type="dxa"/>
              <w:right w:w="108" w:type="dxa"/>
            </w:tcMar>
            <w:hideMark/>
          </w:tcPr>
          <w:p w14:paraId="376E01A3" w14:textId="74D63D0D" w:rsidR="00253536" w:rsidRDefault="00253536">
            <w:pPr>
              <w:rPr>
                <w:color w:val="000000"/>
              </w:rPr>
            </w:pPr>
            <w:r>
              <w:rPr>
                <w:color w:val="000000"/>
              </w:rPr>
              <w:t xml:space="preserve">EE-DR Integrated Ally Pilot - Testing smart technology </w:t>
            </w:r>
            <w:r w:rsidR="0010642F">
              <w:rPr>
                <w:color w:val="000000"/>
              </w:rPr>
              <w:t xml:space="preserve">and other technologies </w:t>
            </w:r>
            <w:r>
              <w:rPr>
                <w:color w:val="000000"/>
              </w:rPr>
              <w:t>in existing DSM programs for enhanced EE</w:t>
            </w:r>
            <w:r w:rsidR="005B543B">
              <w:rPr>
                <w:color w:val="000000"/>
              </w:rPr>
              <w:t xml:space="preserve">, </w:t>
            </w:r>
            <w:r>
              <w:rPr>
                <w:color w:val="000000"/>
              </w:rPr>
              <w:t>DR</w:t>
            </w:r>
            <w:r w:rsidR="005B543B">
              <w:rPr>
                <w:color w:val="000000"/>
              </w:rPr>
              <w:t>, and BE</w:t>
            </w:r>
            <w:r>
              <w:rPr>
                <w:color w:val="000000"/>
              </w:rPr>
              <w:t xml:space="preserve"> </w:t>
            </w:r>
            <w:r w:rsidR="0010642F">
              <w:rPr>
                <w:color w:val="000000"/>
              </w:rPr>
              <w:t xml:space="preserve">savings and </w:t>
            </w:r>
            <w:r>
              <w:rPr>
                <w:color w:val="000000"/>
              </w:rPr>
              <w:t>results</w:t>
            </w:r>
            <w:r w:rsidR="0010642F">
              <w:rPr>
                <w:color w:val="000000"/>
              </w:rPr>
              <w:t xml:space="preserve"> at the meter</w:t>
            </w:r>
            <w:r>
              <w:rPr>
                <w:color w:val="000000"/>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241A6C1" w14:textId="77777777" w:rsidR="00253536" w:rsidRDefault="00253536">
            <w:pPr>
              <w:jc w:val="center"/>
            </w:pPr>
            <w:r>
              <w:t>Emporia Energy</w:t>
            </w:r>
          </w:p>
        </w:tc>
        <w:tc>
          <w:tcPr>
            <w:tcW w:w="0" w:type="auto"/>
            <w:vMerge/>
            <w:tcBorders>
              <w:top w:val="nil"/>
              <w:left w:val="nil"/>
              <w:bottom w:val="single" w:sz="8" w:space="0" w:color="auto"/>
              <w:right w:val="single" w:sz="8" w:space="0" w:color="auto"/>
            </w:tcBorders>
            <w:vAlign w:val="center"/>
            <w:hideMark/>
          </w:tcPr>
          <w:p w14:paraId="7BA6FA19" w14:textId="77777777" w:rsidR="00253536" w:rsidRDefault="00253536"/>
        </w:tc>
        <w:tc>
          <w:tcPr>
            <w:tcW w:w="0" w:type="auto"/>
            <w:vMerge/>
            <w:tcBorders>
              <w:top w:val="nil"/>
              <w:left w:val="nil"/>
              <w:bottom w:val="single" w:sz="8" w:space="0" w:color="auto"/>
              <w:right w:val="single" w:sz="8" w:space="0" w:color="auto"/>
            </w:tcBorders>
            <w:vAlign w:val="center"/>
            <w:hideMark/>
          </w:tcPr>
          <w:p w14:paraId="4FD595EE" w14:textId="77777777" w:rsidR="00253536" w:rsidRDefault="00253536"/>
        </w:tc>
      </w:tr>
    </w:tbl>
    <w:p w14:paraId="384E0948" w14:textId="77777777" w:rsidR="00253536" w:rsidRDefault="00253536" w:rsidP="00253536">
      <w:pPr>
        <w:rPr>
          <w:rFonts w:ascii="Times New Roman" w:hAnsi="Times New Roman" w:cs="Times New Roman"/>
        </w:rPr>
      </w:pPr>
    </w:p>
    <w:p w14:paraId="24C6F07D" w14:textId="77777777" w:rsidR="00253536" w:rsidRDefault="00253536" w:rsidP="00253536"/>
    <w:p w14:paraId="7F04C35F" w14:textId="77777777" w:rsidR="00253536" w:rsidRDefault="00253536" w:rsidP="00253536"/>
    <w:p w14:paraId="74C81D27" w14:textId="77777777" w:rsidR="00253536" w:rsidRDefault="00253536" w:rsidP="00253536">
      <w:pPr>
        <w:shd w:val="clear" w:color="auto" w:fill="FFFFFF"/>
        <w:rPr>
          <w:rFonts w:ascii="Segoe UI" w:hAnsi="Segoe UI" w:cs="Segoe UI"/>
          <w:color w:val="212121"/>
          <w:sz w:val="23"/>
          <w:szCs w:val="23"/>
        </w:rPr>
      </w:pPr>
      <w:r>
        <w:rPr>
          <w:rFonts w:ascii="Garamond" w:hAnsi="Garamond"/>
          <w:b/>
          <w:bCs/>
          <w:color w:val="1F497D"/>
          <w:sz w:val="24"/>
          <w:szCs w:val="24"/>
        </w:rPr>
        <w:t>K.C. Cunilio</w:t>
      </w:r>
    </w:p>
    <w:p w14:paraId="3C1354EF" w14:textId="77777777" w:rsidR="00253536" w:rsidRDefault="00253536" w:rsidP="00253536">
      <w:pPr>
        <w:shd w:val="clear" w:color="auto" w:fill="FFFFFF"/>
        <w:rPr>
          <w:rFonts w:ascii="Segoe UI" w:hAnsi="Segoe UI" w:cs="Segoe UI"/>
          <w:color w:val="212121"/>
          <w:sz w:val="23"/>
          <w:szCs w:val="23"/>
        </w:rPr>
      </w:pPr>
      <w:r>
        <w:rPr>
          <w:rFonts w:ascii="Garamond" w:hAnsi="Garamond"/>
          <w:color w:val="1F497D"/>
          <w:sz w:val="24"/>
          <w:szCs w:val="24"/>
        </w:rPr>
        <w:t>Attorney</w:t>
      </w:r>
    </w:p>
    <w:p w14:paraId="4CAE20BA" w14:textId="77777777" w:rsidR="00253536" w:rsidRDefault="00253536" w:rsidP="00253536">
      <w:pPr>
        <w:shd w:val="clear" w:color="auto" w:fill="FFFFFF"/>
        <w:rPr>
          <w:rFonts w:ascii="Segoe UI" w:hAnsi="Segoe UI" w:cs="Segoe UI"/>
          <w:color w:val="212121"/>
          <w:sz w:val="23"/>
          <w:szCs w:val="23"/>
        </w:rPr>
      </w:pPr>
      <w:r>
        <w:rPr>
          <w:rFonts w:ascii="Garamond" w:hAnsi="Garamond"/>
          <w:color w:val="1F497D"/>
          <w:sz w:val="24"/>
          <w:szCs w:val="24"/>
        </w:rPr>
        <w:lastRenderedPageBreak/>
        <w:t>Dietze and Davis, P.C.</w:t>
      </w:r>
    </w:p>
    <w:p w14:paraId="4F2A597C" w14:textId="77777777" w:rsidR="00253536" w:rsidRDefault="00253536" w:rsidP="00253536">
      <w:pPr>
        <w:shd w:val="clear" w:color="auto" w:fill="FFFFFF"/>
        <w:rPr>
          <w:rFonts w:ascii="Segoe UI" w:hAnsi="Segoe UI" w:cs="Segoe UI"/>
          <w:color w:val="212121"/>
          <w:sz w:val="23"/>
          <w:szCs w:val="23"/>
        </w:rPr>
      </w:pPr>
      <w:r>
        <w:rPr>
          <w:rFonts w:ascii="Garamond" w:hAnsi="Garamond"/>
          <w:color w:val="1F497D"/>
          <w:sz w:val="24"/>
          <w:szCs w:val="24"/>
        </w:rPr>
        <w:t>2060 Broadway, Suite 400</w:t>
      </w:r>
    </w:p>
    <w:p w14:paraId="26B7C2B0" w14:textId="77777777" w:rsidR="00253536" w:rsidRDefault="00253536" w:rsidP="00253536">
      <w:pPr>
        <w:shd w:val="clear" w:color="auto" w:fill="FFFFFF"/>
        <w:rPr>
          <w:rFonts w:ascii="Segoe UI" w:hAnsi="Segoe UI" w:cs="Segoe UI"/>
          <w:color w:val="212121"/>
          <w:sz w:val="23"/>
          <w:szCs w:val="23"/>
        </w:rPr>
      </w:pPr>
      <w:r>
        <w:rPr>
          <w:rFonts w:ascii="Garamond" w:hAnsi="Garamond"/>
          <w:color w:val="1F497D"/>
          <w:sz w:val="24"/>
          <w:szCs w:val="24"/>
        </w:rPr>
        <w:t xml:space="preserve">Boulder, CO  80302                           </w:t>
      </w:r>
    </w:p>
    <w:p w14:paraId="72B4AF34" w14:textId="77777777" w:rsidR="00253536" w:rsidRDefault="00253536" w:rsidP="00253536">
      <w:pPr>
        <w:shd w:val="clear" w:color="auto" w:fill="FFFFFF"/>
        <w:rPr>
          <w:rFonts w:ascii="Segoe UI" w:hAnsi="Segoe UI" w:cs="Segoe UI"/>
          <w:color w:val="212121"/>
          <w:sz w:val="23"/>
          <w:szCs w:val="23"/>
        </w:rPr>
      </w:pPr>
      <w:r>
        <w:rPr>
          <w:rFonts w:ascii="Garamond" w:hAnsi="Garamond"/>
          <w:color w:val="1F497D"/>
          <w:sz w:val="24"/>
          <w:szCs w:val="24"/>
        </w:rPr>
        <w:t>(303) 447-1375</w:t>
      </w:r>
    </w:p>
    <w:p w14:paraId="18B252DB" w14:textId="77777777" w:rsidR="00253536" w:rsidRDefault="00253536" w:rsidP="00253536">
      <w:pPr>
        <w:shd w:val="clear" w:color="auto" w:fill="FFFFFF"/>
        <w:jc w:val="center"/>
        <w:rPr>
          <w:rFonts w:ascii="Segoe UI" w:hAnsi="Segoe UI" w:cs="Segoe UI"/>
          <w:color w:val="212121"/>
          <w:sz w:val="23"/>
          <w:szCs w:val="23"/>
        </w:rPr>
      </w:pPr>
      <w:r>
        <w:rPr>
          <w:color w:val="1F497D"/>
          <w:sz w:val="20"/>
          <w:szCs w:val="20"/>
        </w:rPr>
        <w:t> </w:t>
      </w:r>
    </w:p>
    <w:p w14:paraId="0C2163DE" w14:textId="77777777" w:rsidR="00253536" w:rsidRDefault="00253536" w:rsidP="00253536">
      <w:pPr>
        <w:shd w:val="clear" w:color="auto" w:fill="FFFFFF"/>
        <w:jc w:val="center"/>
        <w:rPr>
          <w:rFonts w:ascii="Segoe UI" w:hAnsi="Segoe UI" w:cs="Segoe UI"/>
          <w:color w:val="212121"/>
          <w:sz w:val="23"/>
          <w:szCs w:val="23"/>
        </w:rPr>
      </w:pPr>
      <w:r>
        <w:rPr>
          <w:color w:val="1F497D"/>
          <w:sz w:val="20"/>
          <w:szCs w:val="20"/>
        </w:rPr>
        <w:t>The information contained in this e-mail is a confidential communication and is intended only for the use of the individual addressed.  This e-mail is also covered by the Electronic Communications Privacy Act, 18 U.S.C. </w:t>
      </w:r>
      <w:r>
        <w:rPr>
          <w:color w:val="2F5597"/>
        </w:rPr>
        <w:t>§</w:t>
      </w:r>
      <w:r>
        <w:rPr>
          <w:color w:val="1F497D"/>
        </w:rPr>
        <w:t> </w:t>
      </w:r>
      <w:r>
        <w:rPr>
          <w:color w:val="1F497D"/>
          <w:sz w:val="20"/>
          <w:szCs w:val="20"/>
        </w:rPr>
        <w:t>2510 </w:t>
      </w:r>
      <w:r>
        <w:rPr>
          <w:i/>
          <w:iCs/>
          <w:color w:val="1F497D"/>
          <w:sz w:val="20"/>
          <w:szCs w:val="20"/>
        </w:rPr>
        <w:t>et seq</w:t>
      </w:r>
      <w:r>
        <w:rPr>
          <w:color w:val="1F497D"/>
          <w:sz w:val="20"/>
          <w:szCs w:val="20"/>
        </w:rPr>
        <w:t>.  If you have received this communication in error, please notify our offices immediately at 303-447-1375, and delete this message from all media.  Thank you.</w:t>
      </w:r>
    </w:p>
    <w:p w14:paraId="7800F9FC" w14:textId="77777777" w:rsidR="00253536" w:rsidRDefault="00253536" w:rsidP="00253536"/>
    <w:p w14:paraId="58833D8B" w14:textId="77777777" w:rsidR="00253536" w:rsidRDefault="00253536" w:rsidP="00253536"/>
    <w:p w14:paraId="3DDCE738" w14:textId="77777777" w:rsidR="00841458" w:rsidRPr="00253536" w:rsidRDefault="00841458" w:rsidP="00253536"/>
    <w:sectPr w:rsidR="00841458" w:rsidRPr="00253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wMDU2MjQzNTM0NTFS0lEKTi0uzszPAykwrgUAtppysCwAAAA="/>
  </w:docVars>
  <w:rsids>
    <w:rsidRoot w:val="00253536"/>
    <w:rsid w:val="0010642F"/>
    <w:rsid w:val="00253536"/>
    <w:rsid w:val="005B543B"/>
    <w:rsid w:val="006E39CC"/>
    <w:rsid w:val="00841458"/>
    <w:rsid w:val="00974CF3"/>
    <w:rsid w:val="00CE3458"/>
    <w:rsid w:val="00E21125"/>
    <w:rsid w:val="00F9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0578F"/>
  <w15:chartTrackingRefBased/>
  <w15:docId w15:val="{8BDC5422-6E66-4483-9629-76EEB9B7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5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3536"/>
    <w:rPr>
      <w:color w:val="0000FF"/>
      <w:u w:val="single"/>
    </w:rPr>
  </w:style>
  <w:style w:type="paragraph" w:styleId="BodyText">
    <w:name w:val="Body Text"/>
    <w:basedOn w:val="Normal"/>
    <w:link w:val="BodyTextChar"/>
    <w:uiPriority w:val="99"/>
    <w:semiHidden/>
    <w:unhideWhenUsed/>
    <w:rsid w:val="00253536"/>
    <w:pPr>
      <w:spacing w:after="240"/>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253536"/>
    <w:rPr>
      <w:rFonts w:ascii="Times New Roman" w:hAnsi="Times New Roman" w:cs="Times New Roman"/>
      <w:sz w:val="24"/>
      <w:szCs w:val="24"/>
    </w:rPr>
  </w:style>
  <w:style w:type="character" w:customStyle="1" w:styleId="apple-converted-space">
    <w:name w:val="apple-converted-space"/>
    <w:basedOn w:val="DefaultParagraphFont"/>
    <w:rsid w:val="00253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87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1080</Words>
  <Characters>6160</Characters>
  <Application>Microsoft Office Word</Application>
  <DocSecurity>0</DocSecurity>
  <Lines>51</Lines>
  <Paragraphs>14</Paragraphs>
  <ScaleCrop>false</ScaleCrop>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rothwell</dc:creator>
  <cp:keywords/>
  <dc:description/>
  <cp:lastModifiedBy>patricia rothwell</cp:lastModifiedBy>
  <cp:revision>3</cp:revision>
  <dcterms:created xsi:type="dcterms:W3CDTF">2022-09-30T15:22:00Z</dcterms:created>
  <dcterms:modified xsi:type="dcterms:W3CDTF">2022-09-30T15:24:00Z</dcterms:modified>
</cp:coreProperties>
</file>